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C8" w:rsidRDefault="00290FC8">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290FC8">
        <w:trPr>
          <w:trHeight w:val="12762"/>
        </w:trPr>
        <w:tc>
          <w:tcPr>
            <w:tcW w:w="9099" w:type="dxa"/>
          </w:tcPr>
          <w:p w:rsidR="00290FC8" w:rsidRDefault="00A974A5">
            <w:pPr>
              <w:jc w:val="center"/>
              <w:rPr>
                <w:sz w:val="28"/>
              </w:rPr>
            </w:pPr>
            <w:r w:rsidRPr="00A974A5">
              <w:rPr>
                <w:rFonts w:hint="eastAsia"/>
                <w:sz w:val="28"/>
              </w:rPr>
              <w:t>特定振替機関等・適格口座管理機関</w:t>
            </w:r>
            <w:r w:rsidR="003B24C0" w:rsidRPr="003B24C0">
              <w:rPr>
                <w:rFonts w:hint="eastAsia"/>
                <w:sz w:val="28"/>
              </w:rPr>
              <w:t>の所轄税務署に係る通知書</w:t>
            </w:r>
          </w:p>
          <w:p w:rsidR="00290FC8" w:rsidRDefault="00290FC8">
            <w:pPr>
              <w:rPr>
                <w:sz w:val="24"/>
              </w:rPr>
            </w:pPr>
          </w:p>
          <w:p w:rsidR="00290FC8" w:rsidRDefault="003B24C0">
            <w:pPr>
              <w:jc w:val="right"/>
              <w:rPr>
                <w:sz w:val="24"/>
              </w:rPr>
            </w:pPr>
            <w:r>
              <w:rPr>
                <w:rFonts w:hint="eastAsia"/>
                <w:sz w:val="24"/>
              </w:rPr>
              <w:t xml:space="preserve">　　年　　月　　</w:t>
            </w:r>
            <w:r w:rsidR="00290FC8">
              <w:rPr>
                <w:rFonts w:hint="eastAsia"/>
                <w:sz w:val="24"/>
              </w:rPr>
              <w:t>日</w:t>
            </w:r>
          </w:p>
          <w:p w:rsidR="00290FC8" w:rsidRDefault="003B24C0">
            <w:pPr>
              <w:rPr>
                <w:sz w:val="24"/>
              </w:rPr>
            </w:pPr>
            <w:r>
              <w:rPr>
                <w:rFonts w:hint="eastAsia"/>
                <w:sz w:val="24"/>
              </w:rPr>
              <w:t>支払代理人（発行者）</w:t>
            </w:r>
            <w:r w:rsidR="00AF5D01" w:rsidRPr="00AF5D01">
              <w:rPr>
                <w:rFonts w:ascii="Times New Roman" w:hAnsi="Times New Roman" w:hint="eastAsia"/>
                <w:sz w:val="16"/>
                <w:szCs w:val="16"/>
              </w:rPr>
              <w:t>（注</w:t>
            </w:r>
            <w:r w:rsidR="00AF5D01" w:rsidRPr="00AF5D01">
              <w:rPr>
                <w:rFonts w:ascii="Times New Roman" w:hAnsi="Times New Roman" w:hint="eastAsia"/>
                <w:sz w:val="16"/>
                <w:szCs w:val="16"/>
              </w:rPr>
              <w:t>1</w:t>
            </w:r>
            <w:r w:rsidR="00AF5D01" w:rsidRPr="00AF5D01">
              <w:rPr>
                <w:rFonts w:ascii="Times New Roman" w:hAnsi="Times New Roman" w:hint="eastAsia"/>
                <w:sz w:val="16"/>
                <w:szCs w:val="16"/>
              </w:rPr>
              <w:t>）</w:t>
            </w:r>
          </w:p>
          <w:p w:rsidR="00290FC8" w:rsidRDefault="00290FC8">
            <w:pPr>
              <w:rPr>
                <w:sz w:val="24"/>
              </w:rPr>
            </w:pPr>
            <w:r>
              <w:rPr>
                <w:rFonts w:hint="eastAsia"/>
                <w:sz w:val="24"/>
              </w:rPr>
              <w:t xml:space="preserve">　　　　　</w:t>
            </w:r>
            <w:r w:rsidR="003B24C0">
              <w:rPr>
                <w:rFonts w:hint="eastAsia"/>
                <w:sz w:val="24"/>
              </w:rPr>
              <w:t xml:space="preserve">　　　　</w:t>
            </w:r>
            <w:r>
              <w:rPr>
                <w:rFonts w:hint="eastAsia"/>
                <w:sz w:val="24"/>
              </w:rPr>
              <w:t>御中</w:t>
            </w:r>
          </w:p>
          <w:p w:rsidR="003B24C0" w:rsidRDefault="00C57C15">
            <w:pPr>
              <w:rPr>
                <w:sz w:val="24"/>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5052695</wp:posOffset>
                      </wp:positionH>
                      <wp:positionV relativeFrom="paragraph">
                        <wp:posOffset>186690</wp:posOffset>
                      </wp:positionV>
                      <wp:extent cx="657225" cy="571500"/>
                      <wp:effectExtent l="13970" t="5715" r="508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71500"/>
                              </a:xfrm>
                              <a:prstGeom prst="ellipse">
                                <a:avLst/>
                              </a:prstGeom>
                              <a:solidFill>
                                <a:srgbClr val="FFFFFF"/>
                              </a:solidFill>
                              <a:ln w="9525">
                                <a:solidFill>
                                  <a:srgbClr val="000000"/>
                                </a:solidFill>
                                <a:prstDash val="sysDot"/>
                                <a:round/>
                                <a:headEnd/>
                                <a:tailEnd/>
                              </a:ln>
                            </wps:spPr>
                            <wps:txbx>
                              <w:txbxContent>
                                <w:p w:rsidR="005450F6" w:rsidRDefault="005450F6" w:rsidP="007710A5">
                                  <w:pPr>
                                    <w:jc w:val="center"/>
                                  </w:pPr>
                                  <w:r>
                                    <w:rPr>
                                      <w:rFonts w:hint="eastAsia"/>
                                    </w:rPr>
                                    <w:t>印</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85pt;margin-top:14.7pt;width:51.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">
                      <v:stroke dashstyle="1 1"/>
                      <v:textbox inset="5.85pt,.25mm,5.85pt,.7pt">
                        <w:txbxContent>
                          <w:p w:rsidR="005450F6" w:rsidRDefault="005450F6" w:rsidP="007710A5">
                            <w:pPr>
                              <w:jc w:val="center"/>
                            </w:pPr>
                            <w:r>
                              <w:rPr>
                                <w:rFonts w:hint="eastAsia"/>
                              </w:rPr>
                              <w:t>印</w:t>
                            </w:r>
                          </w:p>
                        </w:txbxContent>
                      </v:textbox>
                    </v:oval>
                  </w:pict>
                </mc:Fallback>
              </mc:AlternateContent>
            </w:r>
          </w:p>
          <w:p w:rsidR="00290FC8" w:rsidRDefault="00290FC8" w:rsidP="007710A5">
            <w:pPr>
              <w:wordWrap w:val="0"/>
              <w:ind w:right="120"/>
              <w:jc w:val="right"/>
              <w:rPr>
                <w:sz w:val="24"/>
              </w:rPr>
            </w:pPr>
            <w:r>
              <w:rPr>
                <w:rFonts w:hint="eastAsia"/>
                <w:sz w:val="24"/>
              </w:rPr>
              <w:t>特定振替機関等</w:t>
            </w:r>
            <w:r w:rsidR="00DF012E" w:rsidRPr="00863EAF">
              <w:rPr>
                <w:rFonts w:hint="eastAsia"/>
                <w:sz w:val="24"/>
              </w:rPr>
              <w:t>・</w:t>
            </w:r>
            <w:r w:rsidR="003B24C0">
              <w:rPr>
                <w:rFonts w:hint="eastAsia"/>
                <w:sz w:val="24"/>
              </w:rPr>
              <w:t>適格口座管理機関</w:t>
            </w:r>
            <w:r w:rsidR="00655AC7">
              <w:rPr>
                <w:rFonts w:hint="eastAsia"/>
                <w:sz w:val="24"/>
              </w:rPr>
              <w:t xml:space="preserve"> </w:t>
            </w:r>
            <w:r w:rsidR="00106C1D">
              <w:rPr>
                <w:rFonts w:hint="eastAsia"/>
                <w:sz w:val="24"/>
              </w:rPr>
              <w:t xml:space="preserve">　</w:t>
            </w:r>
            <w:r w:rsidR="007F6FC4">
              <w:rPr>
                <w:rFonts w:hint="eastAsia"/>
                <w:sz w:val="24"/>
              </w:rPr>
              <w:t xml:space="preserve">　　</w:t>
            </w:r>
            <w:r w:rsidR="00106C1D">
              <w:rPr>
                <w:rFonts w:hint="eastAsia"/>
                <w:sz w:val="24"/>
              </w:rPr>
              <w:t xml:space="preserve">　</w:t>
            </w:r>
          </w:p>
          <w:p w:rsidR="00290FC8" w:rsidRPr="007710A5" w:rsidRDefault="008B1D9B" w:rsidP="007710A5">
            <w:pPr>
              <w:ind w:leftChars="1890" w:left="3969"/>
              <w:jc w:val="left"/>
              <w:rPr>
                <w:sz w:val="22"/>
                <w:szCs w:val="22"/>
              </w:rPr>
            </w:pPr>
            <w:r w:rsidRPr="007710A5">
              <w:rPr>
                <w:rFonts w:hint="eastAsia"/>
                <w:sz w:val="22"/>
                <w:szCs w:val="22"/>
              </w:rPr>
              <w:t>名称</w:t>
            </w:r>
            <w:r w:rsidR="00576C68" w:rsidRPr="007710A5">
              <w:rPr>
                <w:rFonts w:hint="eastAsia"/>
                <w:sz w:val="24"/>
              </w:rPr>
              <w:t xml:space="preserve">　　　　　　　　　　　　　　</w:t>
            </w:r>
            <w:r w:rsidR="007F6FC4" w:rsidRPr="007710A5">
              <w:rPr>
                <w:rFonts w:hint="eastAsia"/>
                <w:sz w:val="24"/>
              </w:rPr>
              <w:t xml:space="preserve">　</w:t>
            </w:r>
            <w:r w:rsidR="00576C68" w:rsidRPr="007710A5">
              <w:rPr>
                <w:rFonts w:hint="eastAsia"/>
                <w:sz w:val="24"/>
              </w:rPr>
              <w:t xml:space="preserve">　　</w:t>
            </w:r>
            <w:r w:rsidR="007F6FC4" w:rsidRPr="007710A5">
              <w:rPr>
                <w:rFonts w:hint="eastAsia"/>
                <w:sz w:val="24"/>
              </w:rPr>
              <w:t xml:space="preserve">　　　</w:t>
            </w:r>
            <w:r w:rsidR="00106C1D" w:rsidRPr="007710A5">
              <w:rPr>
                <w:rFonts w:hint="eastAsia"/>
                <w:sz w:val="22"/>
                <w:szCs w:val="22"/>
              </w:rPr>
              <w:t xml:space="preserve">　　　</w:t>
            </w:r>
          </w:p>
          <w:p w:rsidR="003B24C0" w:rsidRDefault="00106C1D" w:rsidP="007710A5">
            <w:pPr>
              <w:wordWrap w:val="0"/>
              <w:spacing w:before="240"/>
              <w:ind w:rightChars="-78" w:right="-164"/>
              <w:jc w:val="right"/>
              <w:rPr>
                <w:sz w:val="18"/>
                <w:szCs w:val="18"/>
              </w:rPr>
            </w:pPr>
            <w:r w:rsidRPr="007710A5">
              <w:rPr>
                <w:rFonts w:hint="eastAsia"/>
                <w:sz w:val="18"/>
                <w:szCs w:val="18"/>
              </w:rPr>
              <w:t>（連絡先</w:t>
            </w:r>
            <w:r w:rsidRPr="00106C1D">
              <w:rPr>
                <w:rFonts w:hint="eastAsia"/>
                <w:sz w:val="18"/>
                <w:szCs w:val="18"/>
              </w:rPr>
              <w:t>部署</w:t>
            </w:r>
            <w:r w:rsidR="007F6FC4">
              <w:rPr>
                <w:rFonts w:hint="eastAsia"/>
                <w:sz w:val="18"/>
                <w:szCs w:val="18"/>
              </w:rPr>
              <w:t>/</w:t>
            </w:r>
            <w:r w:rsidR="007F6FC4">
              <w:rPr>
                <w:rFonts w:hint="eastAsia"/>
                <w:sz w:val="18"/>
                <w:szCs w:val="18"/>
              </w:rPr>
              <w:t>担当者</w:t>
            </w:r>
            <w:r w:rsidR="007F6FC4">
              <w:rPr>
                <w:rFonts w:hint="eastAsia"/>
                <w:sz w:val="18"/>
                <w:szCs w:val="18"/>
              </w:rPr>
              <w:t>:</w:t>
            </w:r>
            <w:r>
              <w:rPr>
                <w:rFonts w:hint="eastAsia"/>
                <w:sz w:val="18"/>
                <w:szCs w:val="18"/>
              </w:rPr>
              <w:t xml:space="preserve">　</w:t>
            </w:r>
            <w:r w:rsidR="007F6FC4">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007F6FC4">
              <w:rPr>
                <w:rFonts w:hint="eastAsia"/>
                <w:sz w:val="18"/>
                <w:szCs w:val="18"/>
              </w:rPr>
              <w:t>/</w:t>
            </w:r>
            <w:r>
              <w:rPr>
                <w:rFonts w:hint="eastAsia"/>
                <w:sz w:val="18"/>
                <w:szCs w:val="18"/>
              </w:rPr>
              <w:t xml:space="preserve">　　</w:t>
            </w:r>
            <w:r w:rsidR="00655AC7">
              <w:rPr>
                <w:rFonts w:hint="eastAsia"/>
                <w:sz w:val="18"/>
                <w:szCs w:val="18"/>
              </w:rPr>
              <w:t xml:space="preserve"> </w:t>
            </w:r>
            <w:r>
              <w:rPr>
                <w:rFonts w:hint="eastAsia"/>
                <w:sz w:val="18"/>
                <w:szCs w:val="18"/>
              </w:rPr>
              <w:t xml:space="preserve">　　　</w:t>
            </w:r>
            <w:r w:rsidRPr="007710A5">
              <w:rPr>
                <w:rFonts w:hint="eastAsia"/>
                <w:sz w:val="18"/>
                <w:szCs w:val="18"/>
              </w:rPr>
              <w:t>）</w:t>
            </w:r>
          </w:p>
          <w:p w:rsidR="00106C1D" w:rsidRPr="007710A5" w:rsidRDefault="00106C1D" w:rsidP="007710A5">
            <w:pPr>
              <w:wordWrap w:val="0"/>
              <w:ind w:rightChars="-78" w:right="-164"/>
              <w:jc w:val="right"/>
              <w:rPr>
                <w:sz w:val="18"/>
                <w:szCs w:val="18"/>
              </w:rPr>
            </w:pPr>
            <w:r>
              <w:rPr>
                <w:rFonts w:hint="eastAsia"/>
                <w:sz w:val="18"/>
                <w:szCs w:val="18"/>
              </w:rPr>
              <w:t>（連絡先℡</w:t>
            </w:r>
            <w:r w:rsidR="007F6FC4">
              <w:rPr>
                <w:rFonts w:hint="eastAsia"/>
                <w:sz w:val="18"/>
                <w:szCs w:val="18"/>
              </w:rPr>
              <w:t>/</w:t>
            </w:r>
            <w:r w:rsidR="007F6FC4">
              <w:rPr>
                <w:rFonts w:hint="eastAsia"/>
                <w:sz w:val="18"/>
                <w:szCs w:val="18"/>
              </w:rPr>
              <w:t>メールアドレス</w:t>
            </w:r>
            <w:r w:rsidR="007F6FC4">
              <w:rPr>
                <w:rFonts w:hint="eastAsia"/>
                <w:sz w:val="18"/>
                <w:szCs w:val="18"/>
              </w:rPr>
              <w:t>:</w:t>
            </w:r>
            <w:r>
              <w:rPr>
                <w:rFonts w:hint="eastAsia"/>
                <w:sz w:val="18"/>
                <w:szCs w:val="18"/>
              </w:rPr>
              <w:t xml:space="preserve">　　　</w:t>
            </w:r>
            <w:r w:rsidR="00655AC7">
              <w:rPr>
                <w:rFonts w:hint="eastAsia"/>
                <w:sz w:val="18"/>
                <w:szCs w:val="18"/>
              </w:rPr>
              <w:t xml:space="preserve"> </w:t>
            </w:r>
            <w:r>
              <w:rPr>
                <w:rFonts w:hint="eastAsia"/>
                <w:sz w:val="18"/>
                <w:szCs w:val="18"/>
              </w:rPr>
              <w:t xml:space="preserve">　</w:t>
            </w:r>
            <w:r w:rsidR="00655AC7">
              <w:rPr>
                <w:rFonts w:hint="eastAsia"/>
                <w:sz w:val="18"/>
                <w:szCs w:val="18"/>
              </w:rPr>
              <w:t xml:space="preserve"> </w:t>
            </w:r>
            <w:r>
              <w:rPr>
                <w:rFonts w:hint="eastAsia"/>
                <w:sz w:val="18"/>
                <w:szCs w:val="18"/>
              </w:rPr>
              <w:t xml:space="preserve">　</w:t>
            </w:r>
            <w:r>
              <w:rPr>
                <w:rFonts w:hint="eastAsia"/>
                <w:sz w:val="18"/>
                <w:szCs w:val="18"/>
              </w:rPr>
              <w:t>/</w:t>
            </w:r>
            <w:r w:rsidR="00655AC7">
              <w:rPr>
                <w:rFonts w:hint="eastAsia"/>
                <w:sz w:val="18"/>
                <w:szCs w:val="18"/>
              </w:rPr>
              <w:t xml:space="preserve"> </w:t>
            </w:r>
            <w:r>
              <w:rPr>
                <w:rFonts w:hint="eastAsia"/>
                <w:sz w:val="18"/>
                <w:szCs w:val="18"/>
              </w:rPr>
              <w:t xml:space="preserve">　　</w:t>
            </w:r>
            <w:r w:rsidR="00655AC7">
              <w:rPr>
                <w:rFonts w:hint="eastAsia"/>
                <w:sz w:val="18"/>
                <w:szCs w:val="18"/>
              </w:rPr>
              <w:t xml:space="preserve">    </w:t>
            </w:r>
            <w:r>
              <w:rPr>
                <w:rFonts w:hint="eastAsia"/>
                <w:sz w:val="18"/>
                <w:szCs w:val="18"/>
              </w:rPr>
              <w:t xml:space="preserve">　　　　　）</w:t>
            </w:r>
          </w:p>
          <w:p w:rsidR="007F6FC4" w:rsidRDefault="007F6FC4" w:rsidP="00AF5D01">
            <w:pPr>
              <w:jc w:val="left"/>
              <w:rPr>
                <w:sz w:val="22"/>
              </w:rPr>
            </w:pPr>
          </w:p>
          <w:p w:rsidR="00AF5D01" w:rsidRPr="004A3204" w:rsidRDefault="00AF5D01" w:rsidP="00AF5D01">
            <w:pPr>
              <w:jc w:val="left"/>
              <w:rPr>
                <w:sz w:val="22"/>
              </w:rPr>
            </w:pPr>
            <w:r w:rsidRPr="003B24C0">
              <w:rPr>
                <w:rFonts w:hint="eastAsia"/>
                <w:sz w:val="22"/>
              </w:rPr>
              <w:t>「</w:t>
            </w:r>
            <w:r w:rsidR="003D5FE3" w:rsidRPr="003D5FE3">
              <w:rPr>
                <w:rFonts w:hint="eastAsia"/>
                <w:sz w:val="22"/>
              </w:rPr>
              <w:t>一般債振替制度に係る業務処理要領　第５章　振替地方債及び振替社債等の非居住者非課税制度</w:t>
            </w:r>
            <w:r>
              <w:rPr>
                <w:rFonts w:hint="eastAsia"/>
                <w:sz w:val="22"/>
              </w:rPr>
              <w:t>」の規定により、</w:t>
            </w:r>
            <w:r w:rsidR="000A5929">
              <w:rPr>
                <w:rFonts w:hint="eastAsia"/>
                <w:sz w:val="22"/>
              </w:rPr>
              <w:t>特定間接口座管理機関としての</w:t>
            </w:r>
            <w:r>
              <w:rPr>
                <w:rFonts w:hint="eastAsia"/>
                <w:sz w:val="22"/>
              </w:rPr>
              <w:t>当社は、下記</w:t>
            </w:r>
            <w:r w:rsidRPr="003B24C0">
              <w:rPr>
                <w:rFonts w:hint="eastAsia"/>
                <w:sz w:val="22"/>
              </w:rPr>
              <w:t>の銘柄に係る利子等又は償還金について、租税特別措置法施行令</w:t>
            </w:r>
            <w:r w:rsidRPr="0054099F">
              <w:rPr>
                <w:rFonts w:hint="eastAsia"/>
                <w:color w:val="000000" w:themeColor="text1"/>
                <w:sz w:val="22"/>
              </w:rPr>
              <w:t>第</w:t>
            </w:r>
            <w:r w:rsidRPr="0054099F">
              <w:rPr>
                <w:rFonts w:hint="eastAsia"/>
                <w:color w:val="000000" w:themeColor="text1"/>
                <w:sz w:val="22"/>
              </w:rPr>
              <w:t>3</w:t>
            </w:r>
            <w:r w:rsidRPr="0054099F">
              <w:rPr>
                <w:rFonts w:hint="eastAsia"/>
                <w:color w:val="000000" w:themeColor="text1"/>
                <w:sz w:val="22"/>
              </w:rPr>
              <w:t>条の</w:t>
            </w:r>
            <w:r w:rsidRPr="0054099F">
              <w:rPr>
                <w:rFonts w:hint="eastAsia"/>
                <w:color w:val="000000" w:themeColor="text1"/>
                <w:sz w:val="22"/>
              </w:rPr>
              <w:t>2</w:t>
            </w:r>
            <w:r w:rsidR="003F7E0B" w:rsidRPr="0054099F">
              <w:rPr>
                <w:rFonts w:hint="eastAsia"/>
                <w:color w:val="000000" w:themeColor="text1"/>
                <w:sz w:val="22"/>
              </w:rPr>
              <w:t>第</w:t>
            </w:r>
            <w:r w:rsidR="003F7E0B" w:rsidRPr="0054099F">
              <w:rPr>
                <w:color w:val="000000" w:themeColor="text1"/>
                <w:sz w:val="22"/>
              </w:rPr>
              <w:t>24</w:t>
            </w:r>
            <w:r w:rsidR="003F7E0B" w:rsidRPr="0054099F">
              <w:rPr>
                <w:rFonts w:hint="eastAsia"/>
                <w:color w:val="000000" w:themeColor="text1"/>
                <w:sz w:val="22"/>
              </w:rPr>
              <w:t>項</w:t>
            </w:r>
            <w:r w:rsidRPr="0054099F">
              <w:rPr>
                <w:rFonts w:hint="eastAsia"/>
                <w:color w:val="000000" w:themeColor="text1"/>
                <w:sz w:val="22"/>
              </w:rPr>
              <w:t>若しくは</w:t>
            </w:r>
            <w:r w:rsidR="003F7E0B" w:rsidRPr="0054099F">
              <w:rPr>
                <w:rFonts w:hint="eastAsia"/>
                <w:color w:val="000000" w:themeColor="text1"/>
                <w:sz w:val="22"/>
              </w:rPr>
              <w:t>第</w:t>
            </w:r>
            <w:r w:rsidR="003F7E0B" w:rsidRPr="0054099F">
              <w:rPr>
                <w:color w:val="000000" w:themeColor="text1"/>
                <w:sz w:val="22"/>
              </w:rPr>
              <w:t>25</w:t>
            </w:r>
            <w:r w:rsidR="003F7E0B" w:rsidRPr="0054099F">
              <w:rPr>
                <w:rFonts w:hint="eastAsia"/>
                <w:color w:val="000000" w:themeColor="text1"/>
                <w:sz w:val="22"/>
              </w:rPr>
              <w:t>項</w:t>
            </w:r>
            <w:r w:rsidR="000A5929" w:rsidRPr="0054099F">
              <w:rPr>
                <w:rFonts w:hint="eastAsia"/>
                <w:color w:val="000000" w:themeColor="text1"/>
                <w:sz w:val="22"/>
              </w:rPr>
              <w:t>（同条</w:t>
            </w:r>
            <w:r w:rsidR="003F7E0B" w:rsidRPr="0054099F">
              <w:rPr>
                <w:rFonts w:hint="eastAsia"/>
                <w:color w:val="000000" w:themeColor="text1"/>
                <w:sz w:val="22"/>
              </w:rPr>
              <w:t>第</w:t>
            </w:r>
            <w:r w:rsidR="003F7E0B" w:rsidRPr="0054099F">
              <w:rPr>
                <w:color w:val="000000" w:themeColor="text1"/>
                <w:sz w:val="22"/>
              </w:rPr>
              <w:t>27</w:t>
            </w:r>
            <w:r w:rsidR="003F7E0B" w:rsidRPr="0054099F">
              <w:rPr>
                <w:rFonts w:hint="eastAsia"/>
                <w:color w:val="000000" w:themeColor="text1"/>
                <w:sz w:val="22"/>
              </w:rPr>
              <w:t>項</w:t>
            </w:r>
            <w:r w:rsidR="000A5929" w:rsidRPr="0054099F">
              <w:rPr>
                <w:rFonts w:hint="eastAsia"/>
                <w:color w:val="000000" w:themeColor="text1"/>
                <w:sz w:val="22"/>
              </w:rPr>
              <w:t>の規定により読み替えて適用する場合を含む。）</w:t>
            </w:r>
            <w:r w:rsidRPr="0054099F">
              <w:rPr>
                <w:rFonts w:hint="eastAsia"/>
                <w:color w:val="000000" w:themeColor="text1"/>
                <w:sz w:val="22"/>
              </w:rPr>
              <w:t>又は第</w:t>
            </w:r>
            <w:r w:rsidRPr="0054099F">
              <w:rPr>
                <w:rFonts w:hint="eastAsia"/>
                <w:color w:val="000000" w:themeColor="text1"/>
                <w:sz w:val="22"/>
              </w:rPr>
              <w:t>26</w:t>
            </w:r>
            <w:r w:rsidRPr="0054099F">
              <w:rPr>
                <w:rFonts w:hint="eastAsia"/>
                <w:color w:val="000000" w:themeColor="text1"/>
                <w:sz w:val="22"/>
              </w:rPr>
              <w:t>条の</w:t>
            </w:r>
            <w:r w:rsidRPr="0054099F">
              <w:rPr>
                <w:rFonts w:hint="eastAsia"/>
                <w:color w:val="000000" w:themeColor="text1"/>
                <w:sz w:val="22"/>
              </w:rPr>
              <w:t>20</w:t>
            </w:r>
            <w:r w:rsidR="003F7E0B" w:rsidRPr="0054099F">
              <w:rPr>
                <w:rFonts w:hint="eastAsia"/>
                <w:color w:val="000000" w:themeColor="text1"/>
                <w:sz w:val="22"/>
              </w:rPr>
              <w:t>第</w:t>
            </w:r>
            <w:r w:rsidR="003F7E0B" w:rsidRPr="0054099F">
              <w:rPr>
                <w:color w:val="000000" w:themeColor="text1"/>
                <w:sz w:val="22"/>
              </w:rPr>
              <w:t>27</w:t>
            </w:r>
            <w:r w:rsidR="003F7E0B" w:rsidRPr="0054099F">
              <w:rPr>
                <w:rFonts w:hint="eastAsia"/>
                <w:color w:val="000000" w:themeColor="text1"/>
                <w:sz w:val="22"/>
              </w:rPr>
              <w:t>項</w:t>
            </w:r>
            <w:r w:rsidRPr="0054099F">
              <w:rPr>
                <w:rFonts w:hint="eastAsia"/>
                <w:color w:val="000000" w:themeColor="text1"/>
                <w:sz w:val="22"/>
              </w:rPr>
              <w:t>若しくは</w:t>
            </w:r>
            <w:r w:rsidR="003F7E0B" w:rsidRPr="0054099F">
              <w:rPr>
                <w:rFonts w:hint="eastAsia"/>
                <w:color w:val="000000" w:themeColor="text1"/>
                <w:sz w:val="22"/>
              </w:rPr>
              <w:t>第</w:t>
            </w:r>
            <w:r w:rsidR="003F7E0B" w:rsidRPr="0054099F">
              <w:rPr>
                <w:color w:val="000000" w:themeColor="text1"/>
                <w:sz w:val="22"/>
              </w:rPr>
              <w:t>28</w:t>
            </w:r>
            <w:r w:rsidR="003F7E0B" w:rsidRPr="0054099F">
              <w:rPr>
                <w:rFonts w:hint="eastAsia"/>
                <w:color w:val="000000" w:themeColor="text1"/>
                <w:sz w:val="22"/>
              </w:rPr>
              <w:t>項</w:t>
            </w:r>
            <w:r w:rsidR="000A5929" w:rsidRPr="0054099F">
              <w:rPr>
                <w:rFonts w:hint="eastAsia"/>
                <w:color w:val="000000" w:themeColor="text1"/>
                <w:sz w:val="22"/>
                <w:szCs w:val="22"/>
              </w:rPr>
              <w:t>（同条</w:t>
            </w:r>
            <w:r w:rsidR="003F7E0B" w:rsidRPr="0054099F">
              <w:rPr>
                <w:rFonts w:hint="eastAsia"/>
                <w:color w:val="000000" w:themeColor="text1"/>
                <w:sz w:val="22"/>
              </w:rPr>
              <w:t>第</w:t>
            </w:r>
            <w:r w:rsidR="003F7E0B" w:rsidRPr="0054099F">
              <w:rPr>
                <w:color w:val="000000" w:themeColor="text1"/>
                <w:sz w:val="22"/>
              </w:rPr>
              <w:t>30</w:t>
            </w:r>
            <w:r w:rsidR="003F7E0B" w:rsidRPr="0054099F">
              <w:rPr>
                <w:rFonts w:hint="eastAsia"/>
                <w:color w:val="000000" w:themeColor="text1"/>
                <w:sz w:val="22"/>
              </w:rPr>
              <w:t>項</w:t>
            </w:r>
            <w:r w:rsidR="000A5929" w:rsidRPr="0054099F">
              <w:rPr>
                <w:rFonts w:hint="eastAsia"/>
                <w:color w:val="000000" w:themeColor="text1"/>
                <w:sz w:val="22"/>
                <w:szCs w:val="22"/>
              </w:rPr>
              <w:t>の規定により読み替えて適用する場合を含む。）</w:t>
            </w:r>
            <w:r w:rsidRPr="0054099F">
              <w:rPr>
                <w:rFonts w:hint="eastAsia"/>
                <w:color w:val="000000" w:themeColor="text1"/>
                <w:sz w:val="22"/>
              </w:rPr>
              <w:t>に規定する特定振替機関等又は適格口座管理機関に該当することとな</w:t>
            </w:r>
            <w:r w:rsidRPr="003B24C0">
              <w:rPr>
                <w:rFonts w:hint="eastAsia"/>
                <w:sz w:val="22"/>
              </w:rPr>
              <w:t>ったため、</w:t>
            </w:r>
            <w:r>
              <w:rPr>
                <w:rFonts w:hint="eastAsia"/>
                <w:sz w:val="22"/>
              </w:rPr>
              <w:t>本店又は主たる事務所の所在地に係る所轄税務署について</w:t>
            </w:r>
            <w:r w:rsidRPr="003B24C0">
              <w:rPr>
                <w:rFonts w:hint="eastAsia"/>
                <w:sz w:val="22"/>
              </w:rPr>
              <w:t>通知を行います。</w:t>
            </w:r>
          </w:p>
          <w:p w:rsidR="00AF5D01" w:rsidRDefault="00AF5D01" w:rsidP="00AF5D01">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5773"/>
            </w:tblGrid>
            <w:tr w:rsidR="009579CC" w:rsidRPr="00943FC9" w:rsidTr="008B1D9B">
              <w:trPr>
                <w:trHeight w:val="360"/>
              </w:trPr>
              <w:tc>
                <w:tcPr>
                  <w:tcW w:w="3124" w:type="dxa"/>
                  <w:tcBorders>
                    <w:bottom w:val="nil"/>
                  </w:tcBorders>
                  <w:shd w:val="clear" w:color="auto" w:fill="auto"/>
                  <w:vAlign w:val="center"/>
                </w:tcPr>
                <w:p w:rsidR="009579CC" w:rsidRPr="00AF5D01" w:rsidRDefault="00FF09C5" w:rsidP="009579CC">
                  <w:pPr>
                    <w:spacing w:line="240" w:lineRule="exact"/>
                    <w:jc w:val="center"/>
                    <w:rPr>
                      <w:rFonts w:ascii="Times New Roman" w:hAnsi="Times New Roman"/>
                      <w:sz w:val="20"/>
                      <w:szCs w:val="20"/>
                    </w:rPr>
                  </w:pPr>
                  <w:r w:rsidRPr="00AF5D01">
                    <w:rPr>
                      <w:rFonts w:ascii="Times New Roman" w:hAnsi="Times New Roman" w:hint="eastAsia"/>
                      <w:sz w:val="20"/>
                      <w:szCs w:val="20"/>
                    </w:rPr>
                    <w:t>銘柄</w:t>
                  </w:r>
                  <w:r w:rsidR="009579CC" w:rsidRPr="00AF5D01">
                    <w:rPr>
                      <w:rFonts w:ascii="Times New Roman" w:hAnsi="Times New Roman" w:hint="eastAsia"/>
                      <w:sz w:val="20"/>
                      <w:szCs w:val="20"/>
                    </w:rPr>
                    <w:t>名称</w:t>
                  </w:r>
                </w:p>
              </w:tc>
              <w:tc>
                <w:tcPr>
                  <w:tcW w:w="5773" w:type="dxa"/>
                  <w:shd w:val="clear" w:color="auto" w:fill="auto"/>
                </w:tcPr>
                <w:p w:rsidR="009579CC" w:rsidRPr="00943FC9" w:rsidRDefault="009579CC" w:rsidP="009579CC">
                  <w:pPr>
                    <w:rPr>
                      <w:rFonts w:ascii="Times New Roman" w:hAnsi="Times New Roman"/>
                    </w:rPr>
                  </w:pPr>
                </w:p>
              </w:tc>
            </w:tr>
            <w:tr w:rsidR="009579CC" w:rsidRPr="00943FC9" w:rsidTr="008B1D9B">
              <w:trPr>
                <w:trHeight w:val="360"/>
              </w:trPr>
              <w:tc>
                <w:tcPr>
                  <w:tcW w:w="3124" w:type="dxa"/>
                  <w:tcBorders>
                    <w:top w:val="nil"/>
                  </w:tcBorders>
                  <w:shd w:val="clear" w:color="auto" w:fill="auto"/>
                  <w:vAlign w:val="center"/>
                </w:tcPr>
                <w:p w:rsidR="009579CC" w:rsidRDefault="009579CC" w:rsidP="009579CC">
                  <w:pPr>
                    <w:spacing w:line="240" w:lineRule="exact"/>
                    <w:jc w:val="center"/>
                    <w:rPr>
                      <w:rFonts w:ascii="Times New Roman" w:hAnsi="Times New Roman"/>
                      <w:sz w:val="20"/>
                      <w:szCs w:val="20"/>
                    </w:rPr>
                  </w:pPr>
                  <w:r>
                    <w:rPr>
                      <w:rFonts w:ascii="Times New Roman" w:hAnsi="Times New Roman" w:hint="eastAsia"/>
                      <w:sz w:val="20"/>
                      <w:szCs w:val="20"/>
                    </w:rPr>
                    <w:t>ＩＳＩＮコード</w:t>
                  </w:r>
                </w:p>
              </w:tc>
              <w:tc>
                <w:tcPr>
                  <w:tcW w:w="5773" w:type="dxa"/>
                  <w:shd w:val="clear" w:color="auto" w:fill="auto"/>
                </w:tcPr>
                <w:p w:rsidR="009579CC" w:rsidRDefault="009579CC" w:rsidP="009579CC">
                  <w:pPr>
                    <w:rPr>
                      <w:rFonts w:ascii="Times New Roman" w:hAnsi="Times New Roman"/>
                    </w:rPr>
                  </w:pPr>
                </w:p>
              </w:tc>
            </w:tr>
            <w:tr w:rsidR="003B24C0" w:rsidRPr="00943FC9" w:rsidTr="008B1D9B">
              <w:tc>
                <w:tcPr>
                  <w:tcW w:w="3124" w:type="dxa"/>
                  <w:shd w:val="clear" w:color="auto" w:fill="auto"/>
                  <w:vAlign w:val="center"/>
                </w:tcPr>
                <w:p w:rsidR="003B24C0" w:rsidRDefault="003B24C0" w:rsidP="009579CC">
                  <w:pPr>
                    <w:spacing w:line="240" w:lineRule="exact"/>
                    <w:jc w:val="center"/>
                    <w:rPr>
                      <w:rFonts w:ascii="Times New Roman" w:hAnsi="Times New Roman"/>
                      <w:sz w:val="20"/>
                      <w:szCs w:val="20"/>
                    </w:rPr>
                  </w:pPr>
                  <w:r>
                    <w:rPr>
                      <w:rFonts w:ascii="Times New Roman" w:hAnsi="Times New Roman" w:hint="eastAsia"/>
                      <w:sz w:val="20"/>
                      <w:szCs w:val="20"/>
                    </w:rPr>
                    <w:t>対象利払期日等</w:t>
                  </w:r>
                  <w:r w:rsidRPr="00AF5D01">
                    <w:rPr>
                      <w:rFonts w:ascii="Times New Roman" w:hAnsi="Times New Roman" w:hint="eastAsia"/>
                      <w:sz w:val="16"/>
                      <w:szCs w:val="16"/>
                    </w:rPr>
                    <w:t>（注</w:t>
                  </w:r>
                  <w:r w:rsidR="00AF5D01">
                    <w:rPr>
                      <w:rFonts w:ascii="Times New Roman" w:hAnsi="Times New Roman" w:hint="eastAsia"/>
                      <w:sz w:val="16"/>
                      <w:szCs w:val="16"/>
                    </w:rPr>
                    <w:t>2</w:t>
                  </w:r>
                  <w:r w:rsidRPr="00AF5D01">
                    <w:rPr>
                      <w:rFonts w:ascii="Times New Roman" w:hAnsi="Times New Roman" w:hint="eastAsia"/>
                      <w:sz w:val="16"/>
                      <w:szCs w:val="16"/>
                    </w:rPr>
                    <w:t>）</w:t>
                  </w:r>
                </w:p>
              </w:tc>
              <w:tc>
                <w:tcPr>
                  <w:tcW w:w="5773" w:type="dxa"/>
                  <w:shd w:val="clear" w:color="auto" w:fill="auto"/>
                </w:tcPr>
                <w:p w:rsidR="003B24C0" w:rsidRDefault="003B24C0" w:rsidP="009579CC">
                  <w:pPr>
                    <w:rPr>
                      <w:rFonts w:ascii="Times New Roman" w:hAnsi="Times New Roman"/>
                    </w:rPr>
                  </w:pPr>
                </w:p>
              </w:tc>
            </w:tr>
          </w:tbl>
          <w:p w:rsidR="003B24C0" w:rsidRDefault="003B24C0" w:rsidP="003529C5">
            <w:pPr>
              <w:spacing w:line="240" w:lineRule="exact"/>
            </w:pPr>
          </w:p>
          <w:p w:rsidR="00AF5D01" w:rsidRDefault="00AF5D01" w:rsidP="003529C5">
            <w:pPr>
              <w:spacing w:line="24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783"/>
            </w:tblGrid>
            <w:tr w:rsidR="003B24C0" w:rsidRPr="001E40D1" w:rsidTr="008B1D9B">
              <w:trPr>
                <w:trHeight w:val="599"/>
              </w:trPr>
              <w:tc>
                <w:tcPr>
                  <w:tcW w:w="3114" w:type="dxa"/>
                  <w:shd w:val="clear" w:color="auto" w:fill="auto"/>
                  <w:vAlign w:val="center"/>
                </w:tcPr>
                <w:p w:rsidR="003B24C0" w:rsidRPr="008D64F0" w:rsidRDefault="00A974A5" w:rsidP="009579CC">
                  <w:pPr>
                    <w:spacing w:line="240" w:lineRule="exact"/>
                    <w:ind w:right="24"/>
                    <w:jc w:val="center"/>
                    <w:rPr>
                      <w:rFonts w:ascii="Times New Roman" w:hAnsi="Times New Roman"/>
                      <w:sz w:val="20"/>
                      <w:szCs w:val="20"/>
                    </w:rPr>
                  </w:pPr>
                  <w:r w:rsidRPr="00A974A5">
                    <w:rPr>
                      <w:rFonts w:ascii="Times New Roman" w:hint="eastAsia"/>
                      <w:sz w:val="20"/>
                      <w:szCs w:val="20"/>
                    </w:rPr>
                    <w:t>特定振替機関等・適格口座管理機関</w:t>
                  </w:r>
                  <w:r w:rsidR="003B24C0" w:rsidRPr="008D64F0">
                    <w:rPr>
                      <w:rFonts w:ascii="Times New Roman"/>
                      <w:sz w:val="20"/>
                      <w:szCs w:val="20"/>
                    </w:rPr>
                    <w:t>の本店又は</w:t>
                  </w:r>
                </w:p>
                <w:p w:rsidR="003B24C0" w:rsidRPr="008D64F0" w:rsidRDefault="003B24C0" w:rsidP="009579CC">
                  <w:pPr>
                    <w:spacing w:line="240" w:lineRule="exact"/>
                    <w:ind w:right="24"/>
                    <w:jc w:val="center"/>
                    <w:rPr>
                      <w:rFonts w:ascii="Times New Roman" w:hAnsi="Times New Roman"/>
                      <w:sz w:val="20"/>
                      <w:szCs w:val="20"/>
                    </w:rPr>
                  </w:pPr>
                  <w:r w:rsidRPr="008D64F0">
                    <w:rPr>
                      <w:rFonts w:ascii="Times New Roman"/>
                      <w:sz w:val="20"/>
                      <w:szCs w:val="20"/>
                    </w:rPr>
                    <w:t>主たる事務所の所在地</w:t>
                  </w:r>
                </w:p>
              </w:tc>
              <w:tc>
                <w:tcPr>
                  <w:tcW w:w="5783" w:type="dxa"/>
                  <w:shd w:val="clear" w:color="auto" w:fill="auto"/>
                </w:tcPr>
                <w:p w:rsidR="003B24C0" w:rsidRPr="001E40D1" w:rsidRDefault="003B24C0" w:rsidP="009579CC">
                  <w:pPr>
                    <w:ind w:right="24"/>
                    <w:rPr>
                      <w:rFonts w:ascii="Times New Roman" w:hAnsi="Times New Roman"/>
                    </w:rPr>
                  </w:pPr>
                </w:p>
              </w:tc>
            </w:tr>
            <w:tr w:rsidR="003B24C0" w:rsidRPr="001E40D1" w:rsidTr="008B1D9B">
              <w:trPr>
                <w:trHeight w:val="536"/>
              </w:trPr>
              <w:tc>
                <w:tcPr>
                  <w:tcW w:w="3114" w:type="dxa"/>
                  <w:shd w:val="clear" w:color="auto" w:fill="auto"/>
                  <w:vAlign w:val="center"/>
                </w:tcPr>
                <w:p w:rsidR="003B24C0" w:rsidRPr="008D64F0" w:rsidRDefault="00655AC7" w:rsidP="009579CC">
                  <w:pPr>
                    <w:spacing w:line="240" w:lineRule="exact"/>
                    <w:ind w:right="-108"/>
                    <w:jc w:val="center"/>
                    <w:rPr>
                      <w:rFonts w:ascii="Times New Roman" w:hAnsi="Times New Roman"/>
                      <w:sz w:val="20"/>
                      <w:szCs w:val="20"/>
                    </w:rPr>
                  </w:pPr>
                  <w:r>
                    <w:rPr>
                      <w:rFonts w:ascii="Times New Roman" w:hAnsi="Times New Roman" w:hint="eastAsia"/>
                      <w:sz w:val="20"/>
                      <w:szCs w:val="20"/>
                    </w:rPr>
                    <w:t>上記に係る</w:t>
                  </w:r>
                  <w:r w:rsidR="003B24C0" w:rsidRPr="008D64F0">
                    <w:rPr>
                      <w:rFonts w:ascii="Times New Roman" w:hAnsi="Times New Roman" w:hint="eastAsia"/>
                      <w:sz w:val="20"/>
                      <w:szCs w:val="20"/>
                    </w:rPr>
                    <w:t>所轄税務署</w:t>
                  </w:r>
                </w:p>
              </w:tc>
              <w:tc>
                <w:tcPr>
                  <w:tcW w:w="5783" w:type="dxa"/>
                  <w:shd w:val="clear" w:color="auto" w:fill="auto"/>
                </w:tcPr>
                <w:p w:rsidR="003B24C0" w:rsidRPr="001E40D1" w:rsidRDefault="003B24C0" w:rsidP="009579CC">
                  <w:pPr>
                    <w:ind w:right="24"/>
                    <w:rPr>
                      <w:rFonts w:ascii="Times New Roman" w:hAnsi="Times New Roman"/>
                    </w:rPr>
                  </w:pPr>
                </w:p>
              </w:tc>
            </w:tr>
          </w:tbl>
          <w:p w:rsidR="003B24C0" w:rsidRPr="003B24C0" w:rsidRDefault="003B24C0" w:rsidP="003529C5">
            <w:pPr>
              <w:spacing w:line="240" w:lineRule="exact"/>
            </w:pPr>
          </w:p>
          <w:p w:rsidR="003B24C0" w:rsidRDefault="003B24C0" w:rsidP="003529C5">
            <w:pPr>
              <w:spacing w:line="240" w:lineRule="exact"/>
            </w:pPr>
          </w:p>
          <w:p w:rsidR="003B24C0" w:rsidRDefault="00AF5D01" w:rsidP="003529C5">
            <w:pPr>
              <w:spacing w:line="240" w:lineRule="exact"/>
              <w:rPr>
                <w:sz w:val="20"/>
                <w:szCs w:val="20"/>
              </w:rPr>
            </w:pPr>
            <w:r w:rsidRPr="00AF5D01">
              <w:rPr>
                <w:rFonts w:hint="eastAsia"/>
                <w:sz w:val="20"/>
                <w:szCs w:val="20"/>
              </w:rPr>
              <w:t>(</w:t>
            </w:r>
            <w:r w:rsidRPr="00AF5D01">
              <w:rPr>
                <w:rFonts w:hint="eastAsia"/>
                <w:sz w:val="20"/>
                <w:szCs w:val="20"/>
              </w:rPr>
              <w:t>注</w:t>
            </w:r>
            <w:r w:rsidRPr="00AF5D01">
              <w:rPr>
                <w:rFonts w:hint="eastAsia"/>
                <w:sz w:val="20"/>
                <w:szCs w:val="20"/>
              </w:rPr>
              <w:t>1)</w:t>
            </w:r>
          </w:p>
          <w:p w:rsidR="00AF5D01" w:rsidRPr="00AF5D01" w:rsidRDefault="00AF5D01" w:rsidP="003529C5">
            <w:pPr>
              <w:spacing w:line="240" w:lineRule="exact"/>
              <w:rPr>
                <w:sz w:val="20"/>
                <w:szCs w:val="20"/>
              </w:rPr>
            </w:pPr>
            <w:r>
              <w:rPr>
                <w:rFonts w:hint="eastAsia"/>
                <w:sz w:val="20"/>
                <w:szCs w:val="20"/>
              </w:rPr>
              <w:t>対象銘柄が短期社債（ＣＰ）であり、支払代理人の選任が無い場合は発行者宛とする。</w:t>
            </w:r>
          </w:p>
          <w:p w:rsidR="00AF5D01" w:rsidRDefault="00AF5D01" w:rsidP="003B24C0">
            <w:pPr>
              <w:spacing w:line="240" w:lineRule="exact"/>
              <w:rPr>
                <w:sz w:val="20"/>
                <w:szCs w:val="20"/>
              </w:rPr>
            </w:pPr>
            <w:r w:rsidRPr="00AF5D01">
              <w:rPr>
                <w:rFonts w:hint="eastAsia"/>
                <w:sz w:val="20"/>
                <w:szCs w:val="20"/>
              </w:rPr>
              <w:t>(</w:t>
            </w:r>
            <w:r w:rsidRPr="00AF5D01">
              <w:rPr>
                <w:rFonts w:hint="eastAsia"/>
                <w:sz w:val="20"/>
                <w:szCs w:val="20"/>
              </w:rPr>
              <w:t>注</w:t>
            </w:r>
            <w:r>
              <w:rPr>
                <w:rFonts w:hint="eastAsia"/>
                <w:sz w:val="20"/>
                <w:szCs w:val="20"/>
              </w:rPr>
              <w:t>2</w:t>
            </w:r>
            <w:r w:rsidRPr="00AF5D01">
              <w:rPr>
                <w:rFonts w:hint="eastAsia"/>
                <w:sz w:val="20"/>
                <w:szCs w:val="20"/>
              </w:rPr>
              <w:t>)</w:t>
            </w:r>
          </w:p>
          <w:p w:rsidR="00290FC8" w:rsidRPr="00E72BA6" w:rsidRDefault="003B24C0" w:rsidP="00FE51C8">
            <w:pPr>
              <w:spacing w:line="240" w:lineRule="exact"/>
            </w:pPr>
            <w:r w:rsidRPr="003B24C0">
              <w:rPr>
                <w:rFonts w:hint="eastAsia"/>
                <w:sz w:val="20"/>
                <w:szCs w:val="20"/>
              </w:rPr>
              <w:t>対象銘柄が</w:t>
            </w:r>
            <w:r w:rsidR="00FE51C8">
              <w:rPr>
                <w:rFonts w:hint="eastAsia"/>
                <w:sz w:val="20"/>
                <w:szCs w:val="20"/>
              </w:rPr>
              <w:t>特定振替</w:t>
            </w:r>
            <w:r w:rsidRPr="003B24C0">
              <w:rPr>
                <w:rFonts w:hint="eastAsia"/>
                <w:sz w:val="20"/>
                <w:szCs w:val="20"/>
              </w:rPr>
              <w:t>割引債である場合については償還期日又は買入消却日とする。</w:t>
            </w:r>
          </w:p>
        </w:tc>
      </w:tr>
    </w:tbl>
    <w:p w:rsidR="00290FC8" w:rsidRDefault="00290FC8">
      <w:pPr>
        <w:pStyle w:val="a3"/>
        <w:spacing w:line="280" w:lineRule="exact"/>
        <w:ind w:leftChars="292" w:left="613"/>
      </w:pPr>
    </w:p>
    <w:sectPr w:rsidR="00290FC8">
      <w:headerReference w:type="default" r:id="rId8"/>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F6" w:rsidRDefault="005450F6" w:rsidP="00684394">
      <w:r>
        <w:separator/>
      </w:r>
    </w:p>
  </w:endnote>
  <w:endnote w:type="continuationSeparator" w:id="0">
    <w:p w:rsidR="005450F6" w:rsidRDefault="005450F6" w:rsidP="0068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F6" w:rsidRDefault="005450F6" w:rsidP="00684394">
      <w:r>
        <w:separator/>
      </w:r>
    </w:p>
  </w:footnote>
  <w:footnote w:type="continuationSeparator" w:id="0">
    <w:p w:rsidR="005450F6" w:rsidRDefault="005450F6" w:rsidP="0068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F6" w:rsidRPr="00835CCE" w:rsidRDefault="005450F6" w:rsidP="00835CCE">
    <w:pPr>
      <w:pStyle w:val="a8"/>
      <w:wordWrap w:val="0"/>
      <w:jc w:val="right"/>
      <w:rPr>
        <w:szCs w:val="21"/>
      </w:rPr>
    </w:pPr>
    <w:r>
      <w:rPr>
        <w:rFonts w:hint="eastAsia"/>
        <w:szCs w:val="21"/>
      </w:rPr>
      <w:t>SB_O5-3</w:t>
    </w:r>
    <w:r>
      <w:rPr>
        <w:rFonts w:hint="eastAsia"/>
        <w:szCs w:val="21"/>
      </w:rPr>
      <w:t xml:space="preserve">　</w:t>
    </w:r>
    <w:r w:rsidRPr="0054099F">
      <w:rPr>
        <w:color w:val="000000" w:themeColor="text1"/>
        <w:szCs w:val="21"/>
      </w:rPr>
      <w:t>202</w:t>
    </w:r>
    <w:r w:rsidR="00FF09C5">
      <w:rPr>
        <w:color w:val="000000" w:themeColor="text1"/>
        <w:szCs w:val="21"/>
      </w:rPr>
      <w:t>3</w:t>
    </w:r>
    <w:r w:rsidRPr="0054099F">
      <w:rPr>
        <w:color w:val="000000" w:themeColor="text1"/>
        <w:szCs w:val="21"/>
      </w:rPr>
      <w:t>/</w:t>
    </w:r>
    <w:r w:rsidR="0013468D">
      <w:rPr>
        <w:color w:val="000000" w:themeColor="text1"/>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073DB"/>
    <w:multiLevelType w:val="hybridMultilevel"/>
    <w:tmpl w:val="7BD05B24"/>
    <w:lvl w:ilvl="0" w:tplc="A8EA9BD4">
      <w:start w:val="1"/>
      <w:numFmt w:val="decimal"/>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B6"/>
    <w:rsid w:val="00006D5F"/>
    <w:rsid w:val="000236A2"/>
    <w:rsid w:val="0007386B"/>
    <w:rsid w:val="000A5929"/>
    <w:rsid w:val="000B0FC8"/>
    <w:rsid w:val="000D644F"/>
    <w:rsid w:val="000F4A88"/>
    <w:rsid w:val="00106C1D"/>
    <w:rsid w:val="0013468D"/>
    <w:rsid w:val="00142920"/>
    <w:rsid w:val="00143459"/>
    <w:rsid w:val="0015303B"/>
    <w:rsid w:val="001975B3"/>
    <w:rsid w:val="001E1133"/>
    <w:rsid w:val="00225DBB"/>
    <w:rsid w:val="002265C8"/>
    <w:rsid w:val="00230380"/>
    <w:rsid w:val="00290FC8"/>
    <w:rsid w:val="002A7999"/>
    <w:rsid w:val="002D2D02"/>
    <w:rsid w:val="002D5858"/>
    <w:rsid w:val="002D644A"/>
    <w:rsid w:val="002E7E0E"/>
    <w:rsid w:val="002F1703"/>
    <w:rsid w:val="002F3A1A"/>
    <w:rsid w:val="00314B5F"/>
    <w:rsid w:val="0035106A"/>
    <w:rsid w:val="003529C5"/>
    <w:rsid w:val="00396165"/>
    <w:rsid w:val="003B24C0"/>
    <w:rsid w:val="003B60AF"/>
    <w:rsid w:val="003D5FE3"/>
    <w:rsid w:val="003F7E0B"/>
    <w:rsid w:val="00405DB4"/>
    <w:rsid w:val="00412F76"/>
    <w:rsid w:val="00415B78"/>
    <w:rsid w:val="004273CA"/>
    <w:rsid w:val="004319A5"/>
    <w:rsid w:val="00436872"/>
    <w:rsid w:val="004A3204"/>
    <w:rsid w:val="004C2A33"/>
    <w:rsid w:val="004D7421"/>
    <w:rsid w:val="004F4AD3"/>
    <w:rsid w:val="0054099F"/>
    <w:rsid w:val="005450F6"/>
    <w:rsid w:val="0057321C"/>
    <w:rsid w:val="00576C68"/>
    <w:rsid w:val="005A1498"/>
    <w:rsid w:val="005A7B68"/>
    <w:rsid w:val="005C5A99"/>
    <w:rsid w:val="00606F59"/>
    <w:rsid w:val="00630811"/>
    <w:rsid w:val="006372D7"/>
    <w:rsid w:val="0064473B"/>
    <w:rsid w:val="00655AC7"/>
    <w:rsid w:val="00684394"/>
    <w:rsid w:val="00685A72"/>
    <w:rsid w:val="006872C0"/>
    <w:rsid w:val="006A5D6B"/>
    <w:rsid w:val="006B480A"/>
    <w:rsid w:val="006E38A0"/>
    <w:rsid w:val="0070733E"/>
    <w:rsid w:val="00741249"/>
    <w:rsid w:val="00742EC9"/>
    <w:rsid w:val="00752AB6"/>
    <w:rsid w:val="0075579E"/>
    <w:rsid w:val="007710A5"/>
    <w:rsid w:val="007714FB"/>
    <w:rsid w:val="00790896"/>
    <w:rsid w:val="007A430D"/>
    <w:rsid w:val="007D71CE"/>
    <w:rsid w:val="007E3E3D"/>
    <w:rsid w:val="007F01A8"/>
    <w:rsid w:val="007F44D2"/>
    <w:rsid w:val="007F6FC4"/>
    <w:rsid w:val="00835CCE"/>
    <w:rsid w:val="00843BE0"/>
    <w:rsid w:val="00863BD5"/>
    <w:rsid w:val="00863EAF"/>
    <w:rsid w:val="0089602A"/>
    <w:rsid w:val="008A0D25"/>
    <w:rsid w:val="008B1D9B"/>
    <w:rsid w:val="008E73AF"/>
    <w:rsid w:val="0093388B"/>
    <w:rsid w:val="00944C1E"/>
    <w:rsid w:val="0094573C"/>
    <w:rsid w:val="00952D2A"/>
    <w:rsid w:val="009579CC"/>
    <w:rsid w:val="00962BF4"/>
    <w:rsid w:val="009A65F0"/>
    <w:rsid w:val="009D10E2"/>
    <w:rsid w:val="009D47F7"/>
    <w:rsid w:val="009F1415"/>
    <w:rsid w:val="00A029AF"/>
    <w:rsid w:val="00A2201E"/>
    <w:rsid w:val="00A22089"/>
    <w:rsid w:val="00A64690"/>
    <w:rsid w:val="00A73591"/>
    <w:rsid w:val="00A86209"/>
    <w:rsid w:val="00A974A5"/>
    <w:rsid w:val="00AE5623"/>
    <w:rsid w:val="00AE674E"/>
    <w:rsid w:val="00AF5D01"/>
    <w:rsid w:val="00B05EEC"/>
    <w:rsid w:val="00B1255A"/>
    <w:rsid w:val="00B214FC"/>
    <w:rsid w:val="00C034BB"/>
    <w:rsid w:val="00C278BA"/>
    <w:rsid w:val="00C57C15"/>
    <w:rsid w:val="00C96CBA"/>
    <w:rsid w:val="00CE6F85"/>
    <w:rsid w:val="00D057EE"/>
    <w:rsid w:val="00D07B9F"/>
    <w:rsid w:val="00D2626B"/>
    <w:rsid w:val="00D40AE7"/>
    <w:rsid w:val="00D601F5"/>
    <w:rsid w:val="00D63F74"/>
    <w:rsid w:val="00DC2424"/>
    <w:rsid w:val="00DD20F8"/>
    <w:rsid w:val="00DF012E"/>
    <w:rsid w:val="00E164E7"/>
    <w:rsid w:val="00E22B3E"/>
    <w:rsid w:val="00E47B1D"/>
    <w:rsid w:val="00E64EEE"/>
    <w:rsid w:val="00E671C3"/>
    <w:rsid w:val="00E6750A"/>
    <w:rsid w:val="00E72BA6"/>
    <w:rsid w:val="00E85675"/>
    <w:rsid w:val="00EA6609"/>
    <w:rsid w:val="00EC688A"/>
    <w:rsid w:val="00F02477"/>
    <w:rsid w:val="00F13903"/>
    <w:rsid w:val="00F2737D"/>
    <w:rsid w:val="00F45B14"/>
    <w:rsid w:val="00F57B0D"/>
    <w:rsid w:val="00FA0DDE"/>
    <w:rsid w:val="00FE51C8"/>
    <w:rsid w:val="00FF0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2" w:left="403"/>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8E73AF"/>
    <w:rPr>
      <w:sz w:val="18"/>
      <w:szCs w:val="18"/>
    </w:rPr>
  </w:style>
  <w:style w:type="paragraph" w:styleId="a6">
    <w:name w:val="annotation text"/>
    <w:basedOn w:val="a"/>
    <w:semiHidden/>
    <w:rsid w:val="008E73AF"/>
    <w:pPr>
      <w:jc w:val="left"/>
    </w:pPr>
  </w:style>
  <w:style w:type="paragraph" w:styleId="a7">
    <w:name w:val="annotation subject"/>
    <w:basedOn w:val="a6"/>
    <w:next w:val="a6"/>
    <w:semiHidden/>
    <w:rsid w:val="008E73AF"/>
    <w:rPr>
      <w:b/>
      <w:bCs/>
    </w:rPr>
  </w:style>
  <w:style w:type="paragraph" w:styleId="a8">
    <w:name w:val="header"/>
    <w:basedOn w:val="a"/>
    <w:link w:val="a9"/>
    <w:rsid w:val="00684394"/>
    <w:pPr>
      <w:tabs>
        <w:tab w:val="center" w:pos="4252"/>
        <w:tab w:val="right" w:pos="8504"/>
      </w:tabs>
      <w:snapToGrid w:val="0"/>
    </w:pPr>
  </w:style>
  <w:style w:type="character" w:customStyle="1" w:styleId="a9">
    <w:name w:val="ヘッダー (文字)"/>
    <w:link w:val="a8"/>
    <w:rsid w:val="00684394"/>
    <w:rPr>
      <w:kern w:val="2"/>
      <w:sz w:val="21"/>
      <w:szCs w:val="24"/>
    </w:rPr>
  </w:style>
  <w:style w:type="paragraph" w:styleId="aa">
    <w:name w:val="footer"/>
    <w:basedOn w:val="a"/>
    <w:link w:val="ab"/>
    <w:rsid w:val="00684394"/>
    <w:pPr>
      <w:tabs>
        <w:tab w:val="center" w:pos="4252"/>
        <w:tab w:val="right" w:pos="8504"/>
      </w:tabs>
      <w:snapToGrid w:val="0"/>
    </w:pPr>
  </w:style>
  <w:style w:type="character" w:customStyle="1" w:styleId="ab">
    <w:name w:val="フッター (文字)"/>
    <w:link w:val="aa"/>
    <w:rsid w:val="006843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E270-8465-40FD-B6ED-63B5E7F8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2018-06-04T09:27:00Z</dcterms:created>
  <dcterms:modified xsi:type="dcterms:W3CDTF">2023-03-08T03:32:00Z</dcterms:modified>
</cp:coreProperties>
</file>